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C6" w:rsidRDefault="000704C6" w:rsidP="000704C6">
      <w:pPr>
        <w:autoSpaceDE w:val="0"/>
        <w:autoSpaceDN w:val="0"/>
        <w:adjustRightInd w:val="0"/>
        <w:spacing w:after="0" w:line="240" w:lineRule="auto"/>
        <w:jc w:val="right"/>
        <w:rPr>
          <w:rFonts w:ascii="TimesNewRomanPS-BoldMT" w:hAnsi="TimesNewRomanPS-BoldMT" w:cs="TimesNewRomanPS-BoldMT"/>
          <w:b/>
          <w:bCs/>
          <w:sz w:val="26"/>
          <w:szCs w:val="26"/>
        </w:rPr>
      </w:pPr>
      <w:r>
        <w:rPr>
          <w:rFonts w:ascii="TimesNewRomanPS-BoldMT" w:hAnsi="TimesNewRomanPS-BoldMT" w:cs="TimesNewRomanPS-BoldMT"/>
          <w:b/>
          <w:bCs/>
          <w:sz w:val="26"/>
          <w:szCs w:val="26"/>
        </w:rPr>
        <w:t>Annexure-IX</w:t>
      </w:r>
    </w:p>
    <w:p w:rsidR="000704C6" w:rsidRDefault="000704C6" w:rsidP="000704C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MEMBERS OF PARLIAMENT LOCAL AREA DEVELOPMENT SCHEME</w:t>
      </w:r>
    </w:p>
    <w:p w:rsidR="000704C6" w:rsidRDefault="000704C6" w:rsidP="000704C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(MPLADS)</w:t>
      </w:r>
    </w:p>
    <w:p w:rsidR="000704C6" w:rsidRDefault="000704C6" w:rsidP="000704C6">
      <w:pPr>
        <w:autoSpaceDE w:val="0"/>
        <w:autoSpaceDN w:val="0"/>
        <w:adjustRightInd w:val="0"/>
        <w:spacing w:after="0" w:line="240" w:lineRule="auto"/>
        <w:jc w:val="center"/>
        <w:rPr>
          <w:rFonts w:ascii="TimesNewRomanPS-BoldMT" w:hAnsi="TimesNewRomanPS-BoldMT" w:cs="TimesNewRomanPS-BoldMT"/>
          <w:b/>
          <w:bCs/>
          <w:sz w:val="28"/>
          <w:szCs w:val="28"/>
        </w:rPr>
      </w:pPr>
    </w:p>
    <w:p w:rsidR="000704C6" w:rsidRDefault="000704C6" w:rsidP="000704C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AUDIT CERTIFICATE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It is certified that we have audited the annual Balance Sheet and accounts as on 31st March………….(year) and Receipt and Payment and Income and Expenditure Accounts for the year ending on that date of Member of Parliament Local Area Development Scheme (MPLADS) for </w:t>
      </w:r>
      <w:proofErr w:type="spellStart"/>
      <w:r>
        <w:rPr>
          <w:rFonts w:ascii="TimesNewRomanPSMT" w:hAnsi="TimesNewRomanPSMT" w:cs="TimesNewRomanPSMT"/>
          <w:sz w:val="26"/>
          <w:szCs w:val="26"/>
        </w:rPr>
        <w:t>Shri</w:t>
      </w:r>
      <w:proofErr w:type="spellEnd"/>
      <w:r>
        <w:rPr>
          <w:rFonts w:ascii="TimesNewRomanPSMT" w:hAnsi="TimesNewRomanPSMT" w:cs="TimesNewRomanPSMT"/>
          <w:sz w:val="26"/>
          <w:szCs w:val="26"/>
        </w:rPr>
        <w:t xml:space="preserve">……………….. </w:t>
      </w:r>
      <w:proofErr w:type="gramStart"/>
      <w:r>
        <w:rPr>
          <w:rFonts w:ascii="TimesNewRomanPSMT" w:hAnsi="TimesNewRomanPSMT" w:cs="TimesNewRomanPSMT"/>
          <w:sz w:val="26"/>
          <w:szCs w:val="26"/>
        </w:rPr>
        <w:t>of</w:t>
      </w:r>
      <w:proofErr w:type="gramEnd"/>
      <w:r>
        <w:rPr>
          <w:rFonts w:ascii="TimesNewRomanPSMT" w:hAnsi="TimesNewRomanPSMT" w:cs="TimesNewRomanPSMT"/>
          <w:sz w:val="26"/>
          <w:szCs w:val="26"/>
        </w:rPr>
        <w:t xml:space="preserve"> the constituency …………………, from the books of accounts, records and other documents produced to us by the District Authority and the executing agencies.</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ab/>
        <w:t>In our opinion and to the best of our knowledge and according to the explanations given to us and subject to our observations as detailed below we report that:-</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(a) The Balance Sheet read together with notes thereon gives a true and correct view of</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the</w:t>
      </w:r>
      <w:proofErr w:type="gramEnd"/>
      <w:r>
        <w:rPr>
          <w:rFonts w:ascii="TimesNewRomanPSMT" w:hAnsi="TimesNewRomanPSMT" w:cs="TimesNewRomanPSMT"/>
          <w:sz w:val="26"/>
          <w:szCs w:val="26"/>
        </w:rPr>
        <w:t xml:space="preserve"> state and affairs of the MPLADS as on 31st March ………..(year).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(b) The Income and Expenditure Accounts gives a true and correct view of the surplus of</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funds</w:t>
      </w:r>
      <w:proofErr w:type="gramEnd"/>
      <w:r>
        <w:rPr>
          <w:rFonts w:ascii="TimesNewRomanPSMT" w:hAnsi="TimesNewRomanPSMT" w:cs="TimesNewRomanPSMT"/>
          <w:sz w:val="26"/>
          <w:szCs w:val="26"/>
        </w:rPr>
        <w:t xml:space="preserve"> over expenditure of Rs……………for the year ending 31st March………… (</w:t>
      </w:r>
      <w:proofErr w:type="gramStart"/>
      <w:r>
        <w:rPr>
          <w:rFonts w:ascii="TimesNewRomanPSMT" w:hAnsi="TimesNewRomanPSMT" w:cs="TimesNewRomanPSMT"/>
          <w:sz w:val="26"/>
          <w:szCs w:val="26"/>
        </w:rPr>
        <w:t>year</w:t>
      </w:r>
      <w:proofErr w:type="gramEnd"/>
      <w:r>
        <w:rPr>
          <w:rFonts w:ascii="TimesNewRomanPSMT" w:hAnsi="TimesNewRomanPSMT" w:cs="TimesNewRomanPSMT"/>
          <w:sz w:val="26"/>
          <w:szCs w:val="26"/>
        </w:rPr>
        <w:t xml:space="preserve">)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(c) The Receipt and Payment Accounts give a true and correct view of the transaction</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of</w:t>
      </w:r>
      <w:proofErr w:type="gramEnd"/>
      <w:r>
        <w:rPr>
          <w:rFonts w:ascii="TimesNewRomanPSMT" w:hAnsi="TimesNewRomanPSMT" w:cs="TimesNewRomanPSMT"/>
          <w:sz w:val="26"/>
          <w:szCs w:val="26"/>
        </w:rPr>
        <w:t xml:space="preserve"> the Scheme for the year ending 31st March………… (</w:t>
      </w:r>
      <w:proofErr w:type="gramStart"/>
      <w:r>
        <w:rPr>
          <w:rFonts w:ascii="TimesNewRomanPSMT" w:hAnsi="TimesNewRomanPSMT" w:cs="TimesNewRomanPSMT"/>
          <w:sz w:val="26"/>
          <w:szCs w:val="26"/>
        </w:rPr>
        <w:t>year</w:t>
      </w:r>
      <w:proofErr w:type="gramEnd"/>
      <w:r>
        <w:rPr>
          <w:rFonts w:ascii="TimesNewRomanPSMT" w:hAnsi="TimesNewRomanPSMT" w:cs="TimesNewRomanPSMT"/>
          <w:sz w:val="26"/>
          <w:szCs w:val="26"/>
        </w:rPr>
        <w:t>).</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(d) Not more than one Bank Account is operated for the Scheme.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(e) No funds are kept in the form of Fixed Deposits.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(f) Interest accrued in Saving Bank Account has been taken as receipt for use on the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MPLAD Scheme.</w:t>
      </w:r>
      <w:proofErr w:type="gramEnd"/>
      <w:r>
        <w:rPr>
          <w:rFonts w:ascii="TimesNewRomanPSMT" w:hAnsi="TimesNewRomanPSMT" w:cs="TimesNewRomanPSMT"/>
          <w:sz w:val="26"/>
          <w:szCs w:val="26"/>
        </w:rPr>
        <w:t xml:space="preserve">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(g) Bank Reconciliation Statement has been prepared regularly for every month till this</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month</w:t>
      </w:r>
      <w:proofErr w:type="gramEnd"/>
      <w:r>
        <w:rPr>
          <w:rFonts w:ascii="TimesNewRomanPSMT" w:hAnsi="TimesNewRomanPSMT" w:cs="TimesNewRomanPSMT"/>
          <w:sz w:val="26"/>
          <w:szCs w:val="26"/>
        </w:rPr>
        <w:t>…... (</w:t>
      </w:r>
      <w:proofErr w:type="gramStart"/>
      <w:r>
        <w:rPr>
          <w:rFonts w:ascii="TimesNewRomanPSMT" w:hAnsi="TimesNewRomanPSMT" w:cs="TimesNewRomanPSMT"/>
          <w:sz w:val="26"/>
          <w:szCs w:val="26"/>
        </w:rPr>
        <w:t>year</w:t>
      </w:r>
      <w:proofErr w:type="gramEnd"/>
      <w:r>
        <w:rPr>
          <w:rFonts w:ascii="TimesNewRomanPSMT" w:hAnsi="TimesNewRomanPSMT" w:cs="TimesNewRomanPSMT"/>
          <w:sz w:val="26"/>
          <w:szCs w:val="26"/>
        </w:rPr>
        <w:t xml:space="preserve">).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(h) Cash Book is being written on real accrued basis.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w:t>
      </w:r>
      <w:proofErr w:type="spellStart"/>
      <w:r>
        <w:rPr>
          <w:rFonts w:ascii="TimesNewRomanPSMT" w:hAnsi="TimesNewRomanPSMT" w:cs="TimesNewRomanPSMT"/>
          <w:sz w:val="26"/>
          <w:szCs w:val="26"/>
        </w:rPr>
        <w:t>i</w:t>
      </w:r>
      <w:proofErr w:type="spellEnd"/>
      <w:r>
        <w:rPr>
          <w:rFonts w:ascii="TimesNewRomanPSMT" w:hAnsi="TimesNewRomanPSMT" w:cs="TimesNewRomanPSMT"/>
          <w:sz w:val="26"/>
          <w:szCs w:val="26"/>
        </w:rPr>
        <w:t>) Expenditure shown in the Income and Expenditure Account is properly reflected in</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the</w:t>
      </w:r>
      <w:proofErr w:type="gramEnd"/>
      <w:r>
        <w:rPr>
          <w:rFonts w:ascii="TimesNewRomanPSMT" w:hAnsi="TimesNewRomanPSMT" w:cs="TimesNewRomanPSMT"/>
          <w:sz w:val="26"/>
          <w:szCs w:val="26"/>
        </w:rPr>
        <w:t xml:space="preserve"> Utilization Certificates.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(j) There is no case of diversion of funds. </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(k) The following Reports certified by the Competent Authority of the District Administration form part of the Audit Certificate:-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 (</w:t>
      </w:r>
      <w:proofErr w:type="spellStart"/>
      <w:r>
        <w:rPr>
          <w:rFonts w:ascii="TimesNewRomanPSMT" w:hAnsi="TimesNewRomanPSMT" w:cs="TimesNewRomanPSMT"/>
          <w:sz w:val="26"/>
          <w:szCs w:val="26"/>
        </w:rPr>
        <w:t>i</w:t>
      </w:r>
      <w:proofErr w:type="spellEnd"/>
      <w:r>
        <w:rPr>
          <w:rFonts w:ascii="TimesNewRomanPSMT" w:hAnsi="TimesNewRomanPSMT" w:cs="TimesNewRomanPSMT"/>
          <w:sz w:val="26"/>
          <w:szCs w:val="26"/>
        </w:rPr>
        <w:t xml:space="preserve">) Physical and Financial Progress Report for the year ending 31st March…….… </w:t>
      </w:r>
      <w:proofErr w:type="gramStart"/>
      <w:r>
        <w:rPr>
          <w:rFonts w:ascii="TimesNewRomanPSMT" w:hAnsi="TimesNewRomanPSMT" w:cs="TimesNewRomanPSMT"/>
          <w:sz w:val="26"/>
          <w:szCs w:val="26"/>
        </w:rPr>
        <w:t>(Year).</w:t>
      </w:r>
      <w:proofErr w:type="gramEnd"/>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(ii) Cumulative Physical and Financial Progress Report up to 31</w:t>
      </w:r>
      <w:r>
        <w:rPr>
          <w:rFonts w:ascii="TimesNewRomanPSMT" w:hAnsi="TimesNewRomanPSMT" w:cs="TimesNewRomanPSMT"/>
          <w:sz w:val="15"/>
          <w:szCs w:val="15"/>
        </w:rPr>
        <w:t xml:space="preserve">st </w:t>
      </w:r>
      <w:r>
        <w:rPr>
          <w:rFonts w:ascii="TimesNewRomanPSMT" w:hAnsi="TimesNewRomanPSMT" w:cs="TimesNewRomanPSMT"/>
          <w:sz w:val="26"/>
          <w:szCs w:val="26"/>
        </w:rPr>
        <w:t xml:space="preserve">March…..….. </w:t>
      </w:r>
      <w:proofErr w:type="gramStart"/>
      <w:r>
        <w:rPr>
          <w:rFonts w:ascii="TimesNewRomanPSMT" w:hAnsi="TimesNewRomanPSMT" w:cs="TimesNewRomanPSMT"/>
          <w:sz w:val="26"/>
          <w:szCs w:val="26"/>
        </w:rPr>
        <w:t>(Year).</w:t>
      </w:r>
      <w:proofErr w:type="gramEnd"/>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(In case of Lok Sabha, MPs right from the inception and for Rajya Sabha MP for the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period</w:t>
      </w:r>
      <w:proofErr w:type="gramEnd"/>
      <w:r>
        <w:rPr>
          <w:rFonts w:ascii="TimesNewRomanPSMT" w:hAnsi="TimesNewRomanPSMT" w:cs="TimesNewRomanPSMT"/>
          <w:sz w:val="26"/>
          <w:szCs w:val="26"/>
        </w:rPr>
        <w:t xml:space="preserve"> of individual MP’s tenure).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(iii) Physical and Financial Details of works in Scheduled Caste/Scheduled Tribe areas</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spellStart"/>
      <w:proofErr w:type="gramStart"/>
      <w:r>
        <w:rPr>
          <w:rFonts w:ascii="TimesNewRomanPSMT" w:hAnsi="TimesNewRomanPSMT" w:cs="TimesNewRomanPSMT"/>
          <w:sz w:val="26"/>
          <w:szCs w:val="26"/>
        </w:rPr>
        <w:t>upto</w:t>
      </w:r>
      <w:proofErr w:type="spellEnd"/>
      <w:proofErr w:type="gramEnd"/>
      <w:r>
        <w:rPr>
          <w:rFonts w:ascii="TimesNewRomanPSMT" w:hAnsi="TimesNewRomanPSMT" w:cs="TimesNewRomanPSMT"/>
          <w:sz w:val="26"/>
          <w:szCs w:val="26"/>
        </w:rPr>
        <w:t xml:space="preserve"> 31</w:t>
      </w:r>
      <w:r>
        <w:rPr>
          <w:rFonts w:ascii="TimesNewRomanPSMT" w:hAnsi="TimesNewRomanPSMT" w:cs="TimesNewRomanPSMT"/>
          <w:sz w:val="15"/>
          <w:szCs w:val="15"/>
        </w:rPr>
        <w:t xml:space="preserve">st </w:t>
      </w:r>
      <w:r>
        <w:rPr>
          <w:rFonts w:ascii="TimesNewRomanPSMT" w:hAnsi="TimesNewRomanPSMT" w:cs="TimesNewRomanPSMT"/>
          <w:sz w:val="26"/>
          <w:szCs w:val="26"/>
        </w:rPr>
        <w:t>March……….(Year):</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tbl>
      <w:tblPr>
        <w:tblStyle w:val="TableGrid"/>
        <w:tblW w:w="0" w:type="auto"/>
        <w:tblLook w:val="04A0"/>
      </w:tblPr>
      <w:tblGrid>
        <w:gridCol w:w="2799"/>
        <w:gridCol w:w="1530"/>
        <w:gridCol w:w="1899"/>
        <w:gridCol w:w="1537"/>
        <w:gridCol w:w="1811"/>
      </w:tblGrid>
      <w:tr w:rsidR="000704C6" w:rsidTr="000704C6">
        <w:tc>
          <w:tcPr>
            <w:tcW w:w="2799" w:type="dxa"/>
            <w:vMerge w:val="restart"/>
          </w:tcPr>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Physical and Financial</w:t>
            </w:r>
          </w:p>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details of works in</w:t>
            </w:r>
          </w:p>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SC/ST areas</w:t>
            </w:r>
          </w:p>
          <w:p w:rsidR="000704C6" w:rsidRDefault="000704C6" w:rsidP="000704C6">
            <w:pPr>
              <w:autoSpaceDE w:val="0"/>
              <w:autoSpaceDN w:val="0"/>
              <w:adjustRightInd w:val="0"/>
              <w:jc w:val="both"/>
              <w:rPr>
                <w:rFonts w:ascii="TimesNewRomanPSMT" w:hAnsi="TimesNewRomanPSMT" w:cs="TimesNewRomanPSMT"/>
                <w:sz w:val="26"/>
                <w:szCs w:val="26"/>
              </w:rPr>
            </w:pPr>
            <w:r>
              <w:rPr>
                <w:rFonts w:ascii="TimesNewRomanPS-BoldMT" w:hAnsi="TimesNewRomanPS-BoldMT" w:cs="TimesNewRomanPS-BoldMT"/>
                <w:b/>
                <w:bCs/>
                <w:sz w:val="26"/>
                <w:szCs w:val="26"/>
              </w:rPr>
              <w:t>(1)</w:t>
            </w:r>
          </w:p>
        </w:tc>
        <w:tc>
          <w:tcPr>
            <w:tcW w:w="3429" w:type="dxa"/>
            <w:gridSpan w:val="2"/>
          </w:tcPr>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Physical (Number of works)</w:t>
            </w:r>
          </w:p>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(2)</w:t>
            </w:r>
          </w:p>
          <w:p w:rsidR="000704C6" w:rsidRDefault="000704C6" w:rsidP="000704C6">
            <w:pPr>
              <w:autoSpaceDE w:val="0"/>
              <w:autoSpaceDN w:val="0"/>
              <w:adjustRightInd w:val="0"/>
              <w:jc w:val="both"/>
              <w:rPr>
                <w:rFonts w:ascii="TimesNewRomanPSMT" w:hAnsi="TimesNewRomanPSMT" w:cs="TimesNewRomanPSMT"/>
                <w:sz w:val="26"/>
                <w:szCs w:val="26"/>
              </w:rPr>
            </w:pPr>
          </w:p>
        </w:tc>
        <w:tc>
          <w:tcPr>
            <w:tcW w:w="3348" w:type="dxa"/>
            <w:gridSpan w:val="2"/>
          </w:tcPr>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Financial (Cost of works)</w:t>
            </w:r>
          </w:p>
          <w:p w:rsidR="000704C6" w:rsidRDefault="000704C6" w:rsidP="000704C6">
            <w:pPr>
              <w:autoSpaceDE w:val="0"/>
              <w:autoSpaceDN w:val="0"/>
              <w:adjustRightInd w:val="0"/>
              <w:jc w:val="both"/>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(Rs. in </w:t>
            </w:r>
            <w:proofErr w:type="spellStart"/>
            <w:r>
              <w:rPr>
                <w:rFonts w:ascii="TimesNewRomanPS-BoldMT" w:hAnsi="TimesNewRomanPS-BoldMT" w:cs="TimesNewRomanPS-BoldMT"/>
                <w:b/>
                <w:bCs/>
                <w:sz w:val="26"/>
                <w:szCs w:val="26"/>
              </w:rPr>
              <w:t>lakh</w:t>
            </w:r>
            <w:proofErr w:type="spellEnd"/>
            <w:r>
              <w:rPr>
                <w:rFonts w:ascii="TimesNewRomanPS-BoldMT" w:hAnsi="TimesNewRomanPS-BoldMT" w:cs="TimesNewRomanPS-BoldMT"/>
                <w:b/>
                <w:bCs/>
                <w:sz w:val="26"/>
                <w:szCs w:val="26"/>
              </w:rPr>
              <w:t>)</w:t>
            </w:r>
          </w:p>
          <w:p w:rsidR="000704C6" w:rsidRDefault="000704C6" w:rsidP="000704C6">
            <w:pPr>
              <w:autoSpaceDE w:val="0"/>
              <w:autoSpaceDN w:val="0"/>
              <w:adjustRightInd w:val="0"/>
              <w:jc w:val="both"/>
              <w:rPr>
                <w:rFonts w:ascii="TimesNewRomanPSMT" w:hAnsi="TimesNewRomanPSMT" w:cs="TimesNewRomanPSMT"/>
                <w:sz w:val="26"/>
                <w:szCs w:val="26"/>
              </w:rPr>
            </w:pPr>
            <w:r>
              <w:rPr>
                <w:rFonts w:ascii="TimesNewRomanPS-BoldMT" w:hAnsi="TimesNewRomanPS-BoldMT" w:cs="TimesNewRomanPS-BoldMT"/>
                <w:b/>
                <w:bCs/>
                <w:sz w:val="26"/>
                <w:szCs w:val="26"/>
              </w:rPr>
              <w:t>(3)</w:t>
            </w:r>
          </w:p>
        </w:tc>
      </w:tr>
      <w:tr w:rsidR="000704C6" w:rsidTr="000704C6">
        <w:tc>
          <w:tcPr>
            <w:tcW w:w="2799" w:type="dxa"/>
            <w:vMerge/>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530" w:type="dxa"/>
          </w:tcPr>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Sanctioned</w:t>
            </w:r>
          </w:p>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2(a)</w:t>
            </w:r>
          </w:p>
          <w:p w:rsidR="000704C6" w:rsidRPr="000704C6" w:rsidRDefault="000704C6" w:rsidP="000704C6">
            <w:pPr>
              <w:autoSpaceDE w:val="0"/>
              <w:autoSpaceDN w:val="0"/>
              <w:adjustRightInd w:val="0"/>
              <w:jc w:val="both"/>
              <w:rPr>
                <w:rFonts w:ascii="TimesNewRomanPSMT" w:hAnsi="TimesNewRomanPSMT" w:cs="TimesNewRomanPSMT"/>
                <w:b/>
                <w:bCs/>
                <w:sz w:val="26"/>
                <w:szCs w:val="26"/>
              </w:rPr>
            </w:pPr>
          </w:p>
        </w:tc>
        <w:tc>
          <w:tcPr>
            <w:tcW w:w="1899" w:type="dxa"/>
          </w:tcPr>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Completed 2(b)</w:t>
            </w:r>
          </w:p>
        </w:tc>
        <w:tc>
          <w:tcPr>
            <w:tcW w:w="1537" w:type="dxa"/>
          </w:tcPr>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Sanctioned</w:t>
            </w:r>
          </w:p>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2(a)</w:t>
            </w:r>
          </w:p>
          <w:p w:rsidR="000704C6" w:rsidRPr="000704C6" w:rsidRDefault="000704C6" w:rsidP="000704C6">
            <w:pPr>
              <w:autoSpaceDE w:val="0"/>
              <w:autoSpaceDN w:val="0"/>
              <w:adjustRightInd w:val="0"/>
              <w:jc w:val="both"/>
              <w:rPr>
                <w:rFonts w:ascii="TimesNewRomanPSMT" w:hAnsi="TimesNewRomanPSMT" w:cs="TimesNewRomanPSMT"/>
                <w:b/>
                <w:bCs/>
                <w:sz w:val="26"/>
                <w:szCs w:val="26"/>
              </w:rPr>
            </w:pPr>
          </w:p>
        </w:tc>
        <w:tc>
          <w:tcPr>
            <w:tcW w:w="1811" w:type="dxa"/>
          </w:tcPr>
          <w:p w:rsidR="000704C6" w:rsidRPr="000704C6" w:rsidRDefault="000704C6" w:rsidP="000704C6">
            <w:pPr>
              <w:autoSpaceDE w:val="0"/>
              <w:autoSpaceDN w:val="0"/>
              <w:adjustRightInd w:val="0"/>
              <w:jc w:val="both"/>
              <w:rPr>
                <w:rFonts w:ascii="TimesNewRomanPSMT" w:hAnsi="TimesNewRomanPSMT" w:cs="TimesNewRomanPSMT"/>
                <w:b/>
                <w:bCs/>
                <w:sz w:val="26"/>
                <w:szCs w:val="26"/>
              </w:rPr>
            </w:pPr>
            <w:r w:rsidRPr="000704C6">
              <w:rPr>
                <w:rFonts w:ascii="TimesNewRomanPSMT" w:hAnsi="TimesNewRomanPSMT" w:cs="TimesNewRomanPSMT"/>
                <w:b/>
                <w:bCs/>
                <w:sz w:val="26"/>
                <w:szCs w:val="26"/>
              </w:rPr>
              <w:t>Completed 2(b)</w:t>
            </w:r>
          </w:p>
        </w:tc>
      </w:tr>
      <w:tr w:rsidR="000704C6" w:rsidTr="000704C6">
        <w:tc>
          <w:tcPr>
            <w:tcW w:w="2799" w:type="dxa"/>
          </w:tcPr>
          <w:p w:rsidR="000704C6" w:rsidRDefault="000704C6" w:rsidP="000704C6">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6"/>
                <w:szCs w:val="26"/>
              </w:rPr>
              <w:t>SC Area</w:t>
            </w:r>
          </w:p>
        </w:tc>
        <w:tc>
          <w:tcPr>
            <w:tcW w:w="1530"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899"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537"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811" w:type="dxa"/>
          </w:tcPr>
          <w:p w:rsidR="000704C6" w:rsidRDefault="000704C6" w:rsidP="000704C6">
            <w:pPr>
              <w:autoSpaceDE w:val="0"/>
              <w:autoSpaceDN w:val="0"/>
              <w:adjustRightInd w:val="0"/>
              <w:jc w:val="both"/>
              <w:rPr>
                <w:rFonts w:ascii="TimesNewRomanPSMT" w:hAnsi="TimesNewRomanPSMT" w:cs="TimesNewRomanPSMT"/>
                <w:sz w:val="26"/>
                <w:szCs w:val="26"/>
              </w:rPr>
            </w:pPr>
          </w:p>
        </w:tc>
      </w:tr>
      <w:tr w:rsidR="000704C6" w:rsidTr="000704C6">
        <w:tc>
          <w:tcPr>
            <w:tcW w:w="2799" w:type="dxa"/>
          </w:tcPr>
          <w:p w:rsidR="000704C6" w:rsidRDefault="000704C6" w:rsidP="000704C6">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6"/>
                <w:szCs w:val="26"/>
              </w:rPr>
              <w:t>ST Area</w:t>
            </w:r>
          </w:p>
        </w:tc>
        <w:tc>
          <w:tcPr>
            <w:tcW w:w="1530"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899"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537" w:type="dxa"/>
          </w:tcPr>
          <w:p w:rsidR="000704C6" w:rsidRDefault="000704C6" w:rsidP="000704C6">
            <w:pPr>
              <w:autoSpaceDE w:val="0"/>
              <w:autoSpaceDN w:val="0"/>
              <w:adjustRightInd w:val="0"/>
              <w:jc w:val="both"/>
              <w:rPr>
                <w:rFonts w:ascii="TimesNewRomanPSMT" w:hAnsi="TimesNewRomanPSMT" w:cs="TimesNewRomanPSMT"/>
                <w:sz w:val="26"/>
                <w:szCs w:val="26"/>
              </w:rPr>
            </w:pPr>
          </w:p>
        </w:tc>
        <w:tc>
          <w:tcPr>
            <w:tcW w:w="1811" w:type="dxa"/>
          </w:tcPr>
          <w:p w:rsidR="000704C6" w:rsidRDefault="000704C6" w:rsidP="000704C6">
            <w:pPr>
              <w:autoSpaceDE w:val="0"/>
              <w:autoSpaceDN w:val="0"/>
              <w:adjustRightInd w:val="0"/>
              <w:jc w:val="both"/>
              <w:rPr>
                <w:rFonts w:ascii="TimesNewRomanPSMT" w:hAnsi="TimesNewRomanPSMT" w:cs="TimesNewRomanPSMT"/>
                <w:sz w:val="26"/>
                <w:szCs w:val="26"/>
              </w:rPr>
            </w:pPr>
          </w:p>
        </w:tc>
      </w:tr>
    </w:tbl>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 xml:space="preserve"> (iv) MPLADS funds Utilization Certificate.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(l) There is no audit objection in so far as the said accounts audited by us. (In case there is</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any</w:t>
      </w:r>
      <w:proofErr w:type="gramEnd"/>
      <w:r>
        <w:rPr>
          <w:rFonts w:ascii="TimesNewRomanPSMT" w:hAnsi="TimesNewRomanPSMT" w:cs="TimesNewRomanPSMT"/>
          <w:sz w:val="26"/>
          <w:szCs w:val="26"/>
        </w:rPr>
        <w:t xml:space="preserve"> pending audit objection and objections raised during the present audit, please furnish</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the</w:t>
      </w:r>
      <w:proofErr w:type="gramEnd"/>
      <w:r>
        <w:rPr>
          <w:rFonts w:ascii="TimesNewRomanPSMT" w:hAnsi="TimesNewRomanPSMT" w:cs="TimesNewRomanPSMT"/>
          <w:sz w:val="26"/>
          <w:szCs w:val="26"/>
        </w:rPr>
        <w:t xml:space="preserve"> details. (In case of the Audit objections indicated by the Chartered Accountant, the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roofErr w:type="gramStart"/>
      <w:r>
        <w:rPr>
          <w:rFonts w:ascii="TimesNewRomanPSMT" w:hAnsi="TimesNewRomanPSMT" w:cs="TimesNewRomanPSMT"/>
          <w:sz w:val="26"/>
          <w:szCs w:val="26"/>
        </w:rPr>
        <w:t>same</w:t>
      </w:r>
      <w:proofErr w:type="gramEnd"/>
      <w:r>
        <w:rPr>
          <w:rFonts w:ascii="TimesNewRomanPSMT" w:hAnsi="TimesNewRomanPSMT" w:cs="TimesNewRomanPSMT"/>
          <w:sz w:val="26"/>
          <w:szCs w:val="26"/>
        </w:rPr>
        <w:t xml:space="preserve"> shall be attached to this Certificate with seal and signature).</w:t>
      </w: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p>
    <w:p w:rsidR="000704C6" w:rsidRDefault="000704C6" w:rsidP="000704C6">
      <w:pPr>
        <w:autoSpaceDE w:val="0"/>
        <w:autoSpaceDN w:val="0"/>
        <w:adjustRightInd w:val="0"/>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(m) All works undertaken under the MPLADS by all Trusts/Societies receiving funds under the MPLADS in the year ending 31</w:t>
      </w:r>
      <w:r>
        <w:rPr>
          <w:rFonts w:ascii="TimesNewRomanPSMT" w:hAnsi="TimesNewRomanPSMT" w:cs="TimesNewRomanPSMT"/>
          <w:sz w:val="15"/>
          <w:szCs w:val="15"/>
        </w:rPr>
        <w:t xml:space="preserve">st </w:t>
      </w:r>
      <w:r>
        <w:rPr>
          <w:rFonts w:ascii="TimesNewRomanPSMT" w:hAnsi="TimesNewRomanPSMT" w:cs="TimesNewRomanPSMT"/>
          <w:sz w:val="26"/>
          <w:szCs w:val="26"/>
        </w:rPr>
        <w:t>March------- (year) have been audited and found to be in order.</w:t>
      </w:r>
    </w:p>
    <w:p w:rsidR="000704C6" w:rsidRDefault="000704C6" w:rsidP="000704C6">
      <w:pPr>
        <w:autoSpaceDE w:val="0"/>
        <w:autoSpaceDN w:val="0"/>
        <w:adjustRightInd w:val="0"/>
        <w:spacing w:after="0" w:line="240" w:lineRule="auto"/>
        <w:jc w:val="both"/>
        <w:rPr>
          <w:rFonts w:ascii="TimesNewRomanPS-BoldMT" w:hAnsi="TimesNewRomanPS-BoldMT" w:cs="TimesNewRomanPS-BoldMT"/>
          <w:b/>
          <w:bCs/>
          <w:sz w:val="26"/>
          <w:szCs w:val="26"/>
        </w:rPr>
      </w:pPr>
    </w:p>
    <w:p w:rsidR="000704C6" w:rsidRDefault="000704C6" w:rsidP="000704C6">
      <w:pPr>
        <w:autoSpaceDE w:val="0"/>
        <w:autoSpaceDN w:val="0"/>
        <w:adjustRightInd w:val="0"/>
        <w:spacing w:after="0" w:line="240" w:lineRule="auto"/>
        <w:jc w:val="both"/>
        <w:rPr>
          <w:rFonts w:ascii="TimesNewRomanPS-BoldMT" w:hAnsi="TimesNewRomanPS-BoldMT" w:cs="TimesNewRomanPS-BoldMT"/>
          <w:b/>
          <w:bCs/>
          <w:sz w:val="26"/>
          <w:szCs w:val="26"/>
        </w:rPr>
      </w:pPr>
    </w:p>
    <w:p w:rsidR="00636501" w:rsidRDefault="000704C6" w:rsidP="000704C6">
      <w:pPr>
        <w:autoSpaceDE w:val="0"/>
        <w:autoSpaceDN w:val="0"/>
        <w:adjustRightInd w:val="0"/>
        <w:spacing w:after="0" w:line="240" w:lineRule="auto"/>
        <w:jc w:val="both"/>
      </w:pPr>
      <w:r>
        <w:rPr>
          <w:rFonts w:ascii="TimesNewRomanPS-BoldMT" w:hAnsi="TimesNewRomanPS-BoldMT" w:cs="TimesNewRomanPS-BoldMT"/>
          <w:b/>
          <w:bCs/>
          <w:sz w:val="26"/>
          <w:szCs w:val="26"/>
        </w:rPr>
        <w:t>(The certificate shall be on the auditing firm’s letter head clearly indicating Signature, Name, Address, telephone, fax, and email of the auditor(s) with seal).</w:t>
      </w:r>
    </w:p>
    <w:sectPr w:rsidR="00636501" w:rsidSect="00636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4C6"/>
    <w:rsid w:val="000704C6"/>
    <w:rsid w:val="006365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2018-04-11T05:06:00Z</dcterms:created>
  <dcterms:modified xsi:type="dcterms:W3CDTF">2018-04-11T05:15:00Z</dcterms:modified>
</cp:coreProperties>
</file>